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346" w:rsidRPr="005437E2" w:rsidRDefault="00A44791" w:rsidP="00986191">
      <w:pPr>
        <w:spacing w:after="0" w:line="240" w:lineRule="auto"/>
        <w:ind w:left="4962" w:firstLine="0"/>
        <w:rPr>
          <w:rFonts w:ascii="Times New Roman" w:hAnsi="Times New Roman" w:cs="Times New Roman"/>
          <w:b/>
        </w:rPr>
      </w:pPr>
      <w:r w:rsidRPr="005437E2">
        <w:rPr>
          <w:rFonts w:ascii="Times New Roman" w:hAnsi="Times New Roman" w:cs="Times New Roman"/>
          <w:b/>
        </w:rPr>
        <w:t>УТВЕРЖДЕН</w:t>
      </w:r>
    </w:p>
    <w:p w:rsidR="00190F18" w:rsidRDefault="00861418" w:rsidP="00986191">
      <w:pPr>
        <w:spacing w:after="0" w:line="240" w:lineRule="auto"/>
        <w:ind w:left="4962" w:firstLine="0"/>
        <w:rPr>
          <w:rFonts w:ascii="Times New Roman" w:hAnsi="Times New Roman" w:cs="Times New Roman"/>
          <w:b/>
        </w:rPr>
      </w:pPr>
      <w:r>
        <w:rPr>
          <w:rFonts w:ascii="Times New Roman" w:hAnsi="Times New Roman" w:cs="Times New Roman"/>
          <w:b/>
        </w:rPr>
        <w:t>Генеральным д</w:t>
      </w:r>
      <w:r w:rsidR="00512762">
        <w:rPr>
          <w:rFonts w:ascii="Times New Roman" w:hAnsi="Times New Roman" w:cs="Times New Roman"/>
          <w:b/>
        </w:rPr>
        <w:t>иректором</w:t>
      </w:r>
      <w:r w:rsidR="00EE43CB">
        <w:rPr>
          <w:rFonts w:ascii="Times New Roman" w:hAnsi="Times New Roman" w:cs="Times New Roman"/>
          <w:b/>
        </w:rPr>
        <w:t xml:space="preserve"> </w:t>
      </w:r>
      <w:r w:rsidR="00190F18">
        <w:rPr>
          <w:rFonts w:ascii="Times New Roman" w:hAnsi="Times New Roman" w:cs="Times New Roman"/>
          <w:b/>
        </w:rPr>
        <w:t>АО «УК «ОРГ»</w:t>
      </w:r>
    </w:p>
    <w:p w:rsidR="00190F18" w:rsidRDefault="00190F18" w:rsidP="00986191">
      <w:pPr>
        <w:spacing w:after="0" w:line="240" w:lineRule="auto"/>
        <w:ind w:left="4962" w:firstLine="0"/>
        <w:rPr>
          <w:rFonts w:ascii="Times New Roman" w:hAnsi="Times New Roman" w:cs="Times New Roman"/>
          <w:b/>
        </w:rPr>
      </w:pPr>
      <w:r>
        <w:rPr>
          <w:rFonts w:ascii="Times New Roman" w:hAnsi="Times New Roman" w:cs="Times New Roman"/>
          <w:b/>
        </w:rPr>
        <w:t xml:space="preserve">Управляющей организации ООО «ОЙЛ РЕСУРС ГРУПП» </w:t>
      </w:r>
    </w:p>
    <w:p w:rsidR="00A44791" w:rsidRPr="005437E2" w:rsidRDefault="00A44791" w:rsidP="00986191">
      <w:pPr>
        <w:spacing w:after="0" w:line="240" w:lineRule="auto"/>
        <w:ind w:left="4962" w:firstLine="0"/>
        <w:rPr>
          <w:rFonts w:ascii="Times New Roman" w:hAnsi="Times New Roman" w:cs="Times New Roman"/>
          <w:b/>
        </w:rPr>
      </w:pPr>
      <w:r w:rsidRPr="00A97B3B">
        <w:rPr>
          <w:rFonts w:ascii="Times New Roman" w:hAnsi="Times New Roman" w:cs="Times New Roman"/>
          <w:b/>
        </w:rPr>
        <w:t xml:space="preserve">(Приказ № </w:t>
      </w:r>
      <w:r w:rsidR="00190F18">
        <w:rPr>
          <w:rFonts w:ascii="Times New Roman" w:hAnsi="Times New Roman" w:cs="Times New Roman"/>
          <w:b/>
        </w:rPr>
        <w:t>19-04</w:t>
      </w:r>
      <w:r w:rsidR="00A97B3B" w:rsidRPr="00A97B3B">
        <w:rPr>
          <w:rFonts w:ascii="Times New Roman" w:hAnsi="Times New Roman" w:cs="Times New Roman"/>
          <w:b/>
        </w:rPr>
        <w:t xml:space="preserve"> </w:t>
      </w:r>
      <w:r w:rsidRPr="00A97B3B">
        <w:rPr>
          <w:rFonts w:ascii="Times New Roman" w:hAnsi="Times New Roman" w:cs="Times New Roman"/>
          <w:b/>
        </w:rPr>
        <w:t>от</w:t>
      </w:r>
      <w:r w:rsidR="004436A1">
        <w:rPr>
          <w:rFonts w:ascii="Times New Roman" w:hAnsi="Times New Roman" w:cs="Times New Roman"/>
          <w:b/>
        </w:rPr>
        <w:t xml:space="preserve"> </w:t>
      </w:r>
      <w:r w:rsidR="00986191">
        <w:rPr>
          <w:rFonts w:ascii="Times New Roman" w:hAnsi="Times New Roman" w:cs="Times New Roman"/>
          <w:b/>
        </w:rPr>
        <w:t>19.04</w:t>
      </w:r>
      <w:r w:rsidR="00AA350D">
        <w:rPr>
          <w:rFonts w:ascii="Times New Roman" w:hAnsi="Times New Roman" w:cs="Times New Roman"/>
          <w:b/>
        </w:rPr>
        <w:t>.2024</w:t>
      </w:r>
      <w:r w:rsidRPr="00A97B3B">
        <w:rPr>
          <w:rFonts w:ascii="Times New Roman" w:hAnsi="Times New Roman" w:cs="Times New Roman"/>
          <w:b/>
        </w:rPr>
        <w:t>)</w:t>
      </w:r>
    </w:p>
    <w:p w:rsidR="00A44791" w:rsidRPr="005437E2" w:rsidRDefault="00A44791" w:rsidP="00A44791">
      <w:pPr>
        <w:spacing w:after="0" w:line="240" w:lineRule="auto"/>
        <w:ind w:firstLine="6237"/>
        <w:rPr>
          <w:rFonts w:ascii="Times New Roman" w:hAnsi="Times New Roman" w:cs="Times New Roman"/>
          <w:b/>
        </w:rPr>
      </w:pPr>
    </w:p>
    <w:p w:rsidR="00A44791" w:rsidRPr="005437E2" w:rsidRDefault="00A44791" w:rsidP="00A44791">
      <w:pPr>
        <w:spacing w:after="0" w:line="240" w:lineRule="auto"/>
        <w:ind w:firstLine="6237"/>
        <w:rPr>
          <w:rFonts w:ascii="Times New Roman" w:hAnsi="Times New Roman" w:cs="Times New Roman"/>
          <w:b/>
        </w:rPr>
      </w:pPr>
    </w:p>
    <w:p w:rsidR="00A44791" w:rsidRPr="005437E2" w:rsidRDefault="00A44791" w:rsidP="00A44791">
      <w:pPr>
        <w:spacing w:after="0" w:line="240" w:lineRule="auto"/>
        <w:ind w:firstLine="567"/>
        <w:jc w:val="center"/>
        <w:rPr>
          <w:rFonts w:ascii="Times New Roman" w:hAnsi="Times New Roman" w:cs="Times New Roman"/>
          <w:b/>
        </w:rPr>
      </w:pPr>
      <w:r w:rsidRPr="005437E2">
        <w:rPr>
          <w:rFonts w:ascii="Times New Roman" w:hAnsi="Times New Roman" w:cs="Times New Roman"/>
          <w:b/>
        </w:rPr>
        <w:t xml:space="preserve">СОБСТВЕННЫЙ ПЕРЕЧЕНЬ </w:t>
      </w:r>
    </w:p>
    <w:p w:rsidR="00081881" w:rsidRDefault="00A44791" w:rsidP="00A44791">
      <w:pPr>
        <w:spacing w:after="0" w:line="240" w:lineRule="auto"/>
        <w:ind w:firstLine="567"/>
        <w:jc w:val="center"/>
        <w:rPr>
          <w:rFonts w:ascii="Times New Roman" w:hAnsi="Times New Roman" w:cs="Times New Roman"/>
          <w:b/>
        </w:rPr>
      </w:pPr>
      <w:r w:rsidRPr="005437E2">
        <w:rPr>
          <w:rFonts w:ascii="Times New Roman" w:hAnsi="Times New Roman" w:cs="Times New Roman"/>
          <w:b/>
        </w:rPr>
        <w:t xml:space="preserve">ИНСАЙДЕРСКОЙ ИНФОРМАЦИИ </w:t>
      </w:r>
    </w:p>
    <w:p w:rsidR="00A44791" w:rsidRDefault="00512762" w:rsidP="00A44791">
      <w:pPr>
        <w:spacing w:after="0" w:line="240" w:lineRule="auto"/>
        <w:ind w:firstLine="567"/>
        <w:jc w:val="center"/>
        <w:rPr>
          <w:rFonts w:ascii="Times New Roman" w:hAnsi="Times New Roman" w:cs="Times New Roman"/>
          <w:b/>
        </w:rPr>
      </w:pPr>
      <w:r>
        <w:rPr>
          <w:rFonts w:ascii="Times New Roman" w:hAnsi="Times New Roman" w:cs="Times New Roman"/>
          <w:b/>
        </w:rPr>
        <w:t xml:space="preserve">ООО </w:t>
      </w:r>
      <w:r w:rsidR="00861418">
        <w:rPr>
          <w:rFonts w:ascii="Times New Roman" w:hAnsi="Times New Roman" w:cs="Times New Roman"/>
          <w:b/>
        </w:rPr>
        <w:t>«</w:t>
      </w:r>
      <w:r w:rsidR="00190F18">
        <w:rPr>
          <w:rFonts w:ascii="Times New Roman" w:hAnsi="Times New Roman" w:cs="Times New Roman"/>
          <w:b/>
        </w:rPr>
        <w:t>ОЙЛ РЕСУРС ГРУПП</w:t>
      </w:r>
      <w:r w:rsidR="00AA350D">
        <w:rPr>
          <w:rFonts w:ascii="Times New Roman" w:hAnsi="Times New Roman" w:cs="Times New Roman"/>
          <w:b/>
        </w:rPr>
        <w:t>»</w:t>
      </w:r>
    </w:p>
    <w:p w:rsidR="004436A1" w:rsidRPr="005437E2" w:rsidRDefault="004436A1" w:rsidP="00A44791">
      <w:pPr>
        <w:spacing w:after="0" w:line="240" w:lineRule="auto"/>
        <w:ind w:firstLine="567"/>
        <w:jc w:val="center"/>
        <w:rPr>
          <w:rFonts w:ascii="Times New Roman" w:hAnsi="Times New Roman" w:cs="Times New Roman"/>
          <w:b/>
        </w:rPr>
      </w:pPr>
    </w:p>
    <w:p w:rsidR="00A44791" w:rsidRPr="005437E2" w:rsidRDefault="00A44791" w:rsidP="00A44791">
      <w:pPr>
        <w:spacing w:after="0" w:line="240" w:lineRule="auto"/>
        <w:ind w:firstLine="567"/>
        <w:jc w:val="center"/>
        <w:rPr>
          <w:rFonts w:ascii="Times New Roman" w:hAnsi="Times New Roman" w:cs="Times New Roman"/>
          <w:b/>
        </w:rPr>
      </w:pPr>
    </w:p>
    <w:p w:rsidR="007B5B32" w:rsidRPr="005437E2" w:rsidRDefault="007B5B32" w:rsidP="00543891">
      <w:pPr>
        <w:jc w:val="both"/>
        <w:rPr>
          <w:rFonts w:ascii="Times New Roman" w:hAnsi="Times New Roman" w:cs="Times New Roman"/>
          <w:b/>
        </w:rPr>
      </w:pPr>
      <w:r w:rsidRPr="005437E2">
        <w:rPr>
          <w:rFonts w:ascii="Times New Roman" w:hAnsi="Times New Roman" w:cs="Times New Roman"/>
          <w:b/>
        </w:rPr>
        <w:t xml:space="preserve">1. Общие положения </w:t>
      </w:r>
    </w:p>
    <w:p w:rsidR="00543891" w:rsidRPr="005437E2" w:rsidRDefault="00A44791" w:rsidP="00543891">
      <w:pPr>
        <w:jc w:val="both"/>
        <w:rPr>
          <w:rFonts w:ascii="Times New Roman" w:eastAsia="Times New Roman" w:hAnsi="Times New Roman" w:cs="Times New Roman"/>
          <w:lang w:eastAsia="ru-RU"/>
        </w:rPr>
      </w:pPr>
      <w:r w:rsidRPr="005437E2">
        <w:rPr>
          <w:rFonts w:ascii="Times New Roman" w:hAnsi="Times New Roman" w:cs="Times New Roman"/>
        </w:rPr>
        <w:t xml:space="preserve">Настоящий Собственный перечень инсайдерской информации (далее – Перечень) </w:t>
      </w:r>
      <w:r w:rsidR="00512762">
        <w:rPr>
          <w:rFonts w:ascii="Times New Roman" w:hAnsi="Times New Roman" w:cs="Times New Roman"/>
          <w:b/>
        </w:rPr>
        <w:t xml:space="preserve">Общества с ограниченной ответственностью </w:t>
      </w:r>
      <w:r w:rsidR="00861418">
        <w:rPr>
          <w:rFonts w:ascii="Times New Roman" w:hAnsi="Times New Roman" w:cs="Times New Roman"/>
          <w:b/>
        </w:rPr>
        <w:t>«</w:t>
      </w:r>
      <w:r w:rsidR="00986191">
        <w:rPr>
          <w:rFonts w:ascii="Times New Roman" w:hAnsi="Times New Roman" w:cs="Times New Roman"/>
          <w:b/>
        </w:rPr>
        <w:t>ОЙЛ РЕСУРС ГРУПП</w:t>
      </w:r>
      <w:r w:rsidR="00AA350D">
        <w:rPr>
          <w:rFonts w:ascii="Times New Roman" w:hAnsi="Times New Roman" w:cs="Times New Roman"/>
          <w:b/>
        </w:rPr>
        <w:t>»</w:t>
      </w:r>
      <w:r w:rsidRPr="005437E2">
        <w:rPr>
          <w:rFonts w:ascii="Times New Roman" w:hAnsi="Times New Roman" w:cs="Times New Roman"/>
        </w:rPr>
        <w:t xml:space="preserve"> (далее – Общество, эмитент) составлен в соответствии с требованиями Федерального закона от 27.07.2010 № 224-ФЗ «О противодействии </w:t>
      </w:r>
      <w:r w:rsidR="00543891" w:rsidRPr="005437E2">
        <w:rPr>
          <w:rFonts w:ascii="Times New Roman" w:hAnsi="Times New Roman" w:cs="Times New Roman"/>
        </w:rPr>
        <w:t xml:space="preserve">неправомерному </w:t>
      </w:r>
      <w:r w:rsidRPr="005437E2">
        <w:rPr>
          <w:rFonts w:ascii="Times New Roman" w:hAnsi="Times New Roman" w:cs="Times New Roman"/>
        </w:rPr>
        <w:t xml:space="preserve">использованию инсайдерской информации и манипулированию рынком и о внесении изменений в отдельные законодательные акты Российской Федерации», Указанием Банка России </w:t>
      </w:r>
      <w:r w:rsidR="00543891" w:rsidRPr="005437E2">
        <w:rPr>
          <w:rFonts w:ascii="Times New Roman" w:hAnsi="Times New Roman" w:cs="Times New Roman"/>
        </w:rPr>
        <w:t xml:space="preserve">от 27.09.2021 № 5946-У </w:t>
      </w:r>
      <w:r w:rsidR="00543891" w:rsidRPr="005437E2">
        <w:rPr>
          <w:rFonts w:ascii="Times New Roman" w:eastAsia="Times New Roman" w:hAnsi="Times New Roman" w:cs="Times New Roman"/>
          <w:lang w:eastAsia="ru-RU"/>
        </w:rPr>
        <w:t xml:space="preserve">"О перечне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 и содержит исчерпывающие сведения об инсайдерской информации Общества. </w:t>
      </w:r>
    </w:p>
    <w:p w:rsidR="00FD7F96" w:rsidRPr="005437E2" w:rsidRDefault="00FD7F96" w:rsidP="00543891">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 xml:space="preserve">Инсайдерская информация – точная и конкретная информация, которая не была распространена, и распространение которой может оказать существенное влияние на цены финансовых инструментов, иностранной валюты и (или) товаров. </w:t>
      </w:r>
    </w:p>
    <w:p w:rsidR="00FD7F96" w:rsidRPr="005437E2" w:rsidRDefault="00FD7F96" w:rsidP="00FD7F96">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К инсайдерской информации не относятся:</w:t>
      </w:r>
    </w:p>
    <w:p w:rsidR="00FD7F96" w:rsidRPr="005437E2" w:rsidRDefault="00FD7F96" w:rsidP="00FD7F96">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1) сведения, ставшие доступными неограниченному кругу лиц, в том числе в результате их распространения;</w:t>
      </w:r>
    </w:p>
    <w:p w:rsidR="00FD7F96" w:rsidRPr="005437E2" w:rsidRDefault="00FD7F96" w:rsidP="00FD7F96">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 xml:space="preserve">2) осуществленные на основе общедоступной информации исследования, прогнозы и оценки в отношении финансовых инструментов, </w:t>
      </w:r>
      <w:r w:rsidR="00A1613E" w:rsidRPr="005437E2">
        <w:rPr>
          <w:rFonts w:ascii="Times New Roman" w:eastAsia="Times New Roman" w:hAnsi="Times New Roman" w:cs="Times New Roman"/>
          <w:lang w:eastAsia="ru-RU"/>
        </w:rPr>
        <w:t xml:space="preserve">иностранной валюты и (или) товаров, а также рекомендации и (или) предложения об осуществлении операций с финансовыми инструментами, иностранной валютой и (или) товарами. </w:t>
      </w:r>
      <w:r w:rsidR="005124AD" w:rsidRPr="005437E2">
        <w:rPr>
          <w:rFonts w:ascii="Times New Roman" w:eastAsia="Times New Roman" w:hAnsi="Times New Roman" w:cs="Times New Roman"/>
          <w:lang w:eastAsia="ru-RU"/>
        </w:rPr>
        <w:t xml:space="preserve">  </w:t>
      </w:r>
    </w:p>
    <w:p w:rsidR="008F34D4" w:rsidRPr="005437E2" w:rsidRDefault="008F34D4" w:rsidP="00543891">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В Собственный перечень инсайдерской информации Общества включается</w:t>
      </w:r>
      <w:r w:rsidR="00FD7F96" w:rsidRPr="005437E2">
        <w:rPr>
          <w:rFonts w:ascii="Times New Roman" w:eastAsia="Times New Roman" w:hAnsi="Times New Roman" w:cs="Times New Roman"/>
          <w:lang w:eastAsia="ru-RU"/>
        </w:rPr>
        <w:t xml:space="preserve">, в том числе, </w:t>
      </w:r>
      <w:r w:rsidRPr="005437E2">
        <w:rPr>
          <w:rFonts w:ascii="Times New Roman" w:eastAsia="Times New Roman" w:hAnsi="Times New Roman" w:cs="Times New Roman"/>
          <w:lang w:eastAsia="ru-RU"/>
        </w:rPr>
        <w:t xml:space="preserve"> инсайдерская информация, перечень которой утверждается нормативным актом Банка России, с учетом особенностей деятельности Общества. </w:t>
      </w:r>
      <w:r w:rsidR="00B75AF2" w:rsidRPr="005437E2">
        <w:rPr>
          <w:rFonts w:ascii="Times New Roman" w:eastAsia="Times New Roman" w:hAnsi="Times New Roman" w:cs="Times New Roman"/>
          <w:lang w:eastAsia="ru-RU"/>
        </w:rPr>
        <w:t xml:space="preserve">Перечень утверждается лицом, осуществляющим функции единоличного исполнительного органа. </w:t>
      </w:r>
    </w:p>
    <w:p w:rsidR="000C31BE" w:rsidRPr="005437E2" w:rsidRDefault="000C31BE" w:rsidP="000C31BE">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Собственный перечень инсайдерской информации Общества подлежит пересмотру в случае изменения нормативных актов Банка России</w:t>
      </w:r>
      <w:r w:rsidR="00FD7F96" w:rsidRPr="005437E2">
        <w:rPr>
          <w:rFonts w:ascii="Times New Roman" w:eastAsia="Times New Roman" w:hAnsi="Times New Roman" w:cs="Times New Roman"/>
          <w:lang w:eastAsia="ru-RU"/>
        </w:rPr>
        <w:t>,</w:t>
      </w:r>
      <w:r w:rsidR="007B5B32" w:rsidRPr="005437E2">
        <w:rPr>
          <w:rFonts w:ascii="Times New Roman" w:eastAsia="Times New Roman" w:hAnsi="Times New Roman" w:cs="Times New Roman"/>
          <w:lang w:eastAsia="ru-RU"/>
        </w:rPr>
        <w:t xml:space="preserve"> либо в</w:t>
      </w:r>
      <w:r w:rsidRPr="005437E2">
        <w:rPr>
          <w:rFonts w:ascii="Times New Roman" w:eastAsia="Times New Roman" w:hAnsi="Times New Roman" w:cs="Times New Roman"/>
          <w:lang w:eastAsia="ru-RU"/>
        </w:rPr>
        <w:t xml:space="preserve"> случае принятия решения о включении в Перечень иной информации, классифицированной Обществом как инсайдерская. </w:t>
      </w:r>
    </w:p>
    <w:p w:rsidR="00545E52" w:rsidRPr="005437E2" w:rsidRDefault="00545E52" w:rsidP="00543891">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 xml:space="preserve">В случае изменения действующего законодательства Российской Федерации после утверждения настоящего Перечня, Собственный перечень инсайдерской информации Общества будет действовать с учетом изменившихся требований законодательства Российской Федерации. </w:t>
      </w:r>
    </w:p>
    <w:p w:rsidR="007B5B32" w:rsidRPr="005437E2" w:rsidRDefault="007B5B32" w:rsidP="00543891">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 xml:space="preserve">Собственный перечень инсайдерской информации Общества подлежит раскрытию в информационно-телекоммуникационной сети Интернет на официальном сайте Общества. </w:t>
      </w:r>
    </w:p>
    <w:p w:rsidR="00E73C1B" w:rsidRPr="005437E2" w:rsidRDefault="00F006C6" w:rsidP="00F006C6">
      <w:pPr>
        <w:jc w:val="both"/>
        <w:rPr>
          <w:rFonts w:ascii="Times New Roman" w:eastAsia="Times New Roman" w:hAnsi="Times New Roman" w:cs="Times New Roman"/>
          <w:sz w:val="20"/>
          <w:szCs w:val="20"/>
          <w:lang w:eastAsia="ru-RU"/>
        </w:rPr>
      </w:pPr>
      <w:r w:rsidRPr="005437E2">
        <w:rPr>
          <w:rFonts w:ascii="Times New Roman" w:eastAsia="Times New Roman" w:hAnsi="Times New Roman" w:cs="Times New Roman"/>
          <w:lang w:eastAsia="ru-RU"/>
        </w:rPr>
        <w:t xml:space="preserve">Порядок и сроки раскрытия </w:t>
      </w:r>
      <w:r w:rsidRPr="00AD15B5">
        <w:rPr>
          <w:rFonts w:ascii="Times New Roman" w:eastAsia="Times New Roman" w:hAnsi="Times New Roman" w:cs="Times New Roman"/>
          <w:lang w:eastAsia="ru-RU"/>
        </w:rPr>
        <w:t>инсайдерской информации устанавливается нормативными актами Банка России.</w:t>
      </w:r>
    </w:p>
    <w:p w:rsidR="00E73C1B" w:rsidRPr="005437E2" w:rsidRDefault="00E73C1B" w:rsidP="00E73C1B">
      <w:pPr>
        <w:spacing w:after="0" w:line="240" w:lineRule="auto"/>
        <w:ind w:firstLine="540"/>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lastRenderedPageBreak/>
        <w:t xml:space="preserve">В случае, если после раскрытия или предоставления инсайдерской информации сведения, входящие в состав указанной информации, изменяются, информация об этом должна быть в том же порядке раскрыта или предоставлена не позднее следующего рабочего дня после того, как о таких изменениях стало или должно было стать известно. </w:t>
      </w:r>
    </w:p>
    <w:p w:rsidR="00E73C1B" w:rsidRPr="005437E2" w:rsidRDefault="00E73C1B" w:rsidP="00543891">
      <w:pPr>
        <w:jc w:val="both"/>
        <w:rPr>
          <w:rFonts w:ascii="Times New Roman" w:eastAsia="Times New Roman" w:hAnsi="Times New Roman" w:cs="Times New Roman"/>
          <w:b/>
          <w:lang w:eastAsia="ru-RU"/>
        </w:rPr>
      </w:pPr>
    </w:p>
    <w:p w:rsidR="007B5B32" w:rsidRPr="005437E2" w:rsidRDefault="007B5B32" w:rsidP="00543891">
      <w:pPr>
        <w:jc w:val="both"/>
        <w:rPr>
          <w:rFonts w:ascii="Times New Roman" w:eastAsia="Times New Roman" w:hAnsi="Times New Roman" w:cs="Times New Roman"/>
          <w:b/>
          <w:lang w:eastAsia="ru-RU"/>
        </w:rPr>
      </w:pPr>
      <w:r w:rsidRPr="005437E2">
        <w:rPr>
          <w:rFonts w:ascii="Times New Roman" w:eastAsia="Times New Roman" w:hAnsi="Times New Roman" w:cs="Times New Roman"/>
          <w:b/>
          <w:lang w:eastAsia="ru-RU"/>
        </w:rPr>
        <w:t xml:space="preserve">2. Инсайдерская информация Общества </w:t>
      </w:r>
    </w:p>
    <w:p w:rsidR="00543891" w:rsidRPr="005437E2" w:rsidRDefault="00543891" w:rsidP="00543891">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К инсайдерской информации Общества как эмитента, эмиссионные ценные бумаги которого допущены к организованным торгам</w:t>
      </w:r>
      <w:r w:rsidR="0059350D" w:rsidRPr="005437E2">
        <w:rPr>
          <w:rFonts w:ascii="Times New Roman" w:eastAsia="Times New Roman" w:hAnsi="Times New Roman" w:cs="Times New Roman"/>
          <w:lang w:eastAsia="ru-RU"/>
        </w:rPr>
        <w:t>,</w:t>
      </w:r>
      <w:r w:rsidRPr="005437E2">
        <w:rPr>
          <w:rFonts w:ascii="Times New Roman" w:eastAsia="Times New Roman" w:hAnsi="Times New Roman" w:cs="Times New Roman"/>
          <w:lang w:eastAsia="ru-RU"/>
        </w:rPr>
        <w:t xml:space="preserve"> или в отношении эмиссионных ценных бумаг которого подана заявка о допуске к организованным торгам, относится:</w:t>
      </w:r>
    </w:p>
    <w:p w:rsidR="00543891" w:rsidRPr="005437E2" w:rsidRDefault="00ED14ED"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созыве и проведении общего собрания участников (акционеров) эмитента, об объявлении общего собрания участников (акционеров) эмитента несостоявшимся, а также о решениях, принятых общим собранием участников (акционеров) эмитента или единственным участником (лицом, которому принадлежат все голосующие акции) эмитента</w:t>
      </w:r>
    </w:p>
    <w:p w:rsidR="00ED14ED" w:rsidRPr="005437E2" w:rsidRDefault="00ED14ED" w:rsidP="00101EA8">
      <w:pPr>
        <w:pStyle w:val="ConsPlusNormal"/>
        <w:numPr>
          <w:ilvl w:val="0"/>
          <w:numId w:val="3"/>
        </w:numPr>
        <w:jc w:val="both"/>
        <w:rPr>
          <w:sz w:val="22"/>
          <w:szCs w:val="22"/>
        </w:rPr>
      </w:pPr>
      <w:r w:rsidRPr="005437E2">
        <w:rPr>
          <w:sz w:val="22"/>
          <w:szCs w:val="22"/>
        </w:rPr>
        <w:t>Информация о проведении заседания совета директоров (наблюдательного совета) эмитента и его повестке дня, а также об отдельных решениях, принятых советом директоров (наблюдательным советом) эмитента:</w:t>
      </w:r>
    </w:p>
    <w:p w:rsidR="00ED14ED" w:rsidRPr="005437E2" w:rsidRDefault="00ED14ED" w:rsidP="00101EA8">
      <w:pPr>
        <w:pStyle w:val="ConsPlusNormal"/>
        <w:numPr>
          <w:ilvl w:val="0"/>
          <w:numId w:val="4"/>
        </w:numPr>
        <w:ind w:left="1134" w:hanging="283"/>
        <w:jc w:val="both"/>
        <w:rPr>
          <w:sz w:val="22"/>
          <w:szCs w:val="22"/>
        </w:rPr>
      </w:pPr>
      <w:r w:rsidRPr="005437E2">
        <w:rPr>
          <w:sz w:val="22"/>
          <w:szCs w:val="22"/>
        </w:rPr>
        <w:t>о предложении общему собранию акционеров эмитента, являющегося акционерным обществом, установить в решении о выплате (об объявлении) дивидендов определенную дату, на которую определяются лица, имеющие право на получение дивидендов;</w:t>
      </w:r>
    </w:p>
    <w:p w:rsidR="00ED14ED" w:rsidRPr="005437E2" w:rsidRDefault="00ED14ED" w:rsidP="00101EA8">
      <w:pPr>
        <w:pStyle w:val="ConsPlusNormal"/>
        <w:numPr>
          <w:ilvl w:val="0"/>
          <w:numId w:val="4"/>
        </w:numPr>
        <w:ind w:left="1134" w:hanging="283"/>
        <w:jc w:val="both"/>
        <w:rPr>
          <w:sz w:val="22"/>
          <w:szCs w:val="22"/>
        </w:rPr>
      </w:pPr>
      <w:r w:rsidRPr="005437E2">
        <w:rPr>
          <w:sz w:val="22"/>
          <w:szCs w:val="22"/>
        </w:rPr>
        <w:t>о размещении или реализации ценных бумаг эмитента;</w:t>
      </w:r>
    </w:p>
    <w:p w:rsidR="00ED14ED" w:rsidRPr="005437E2" w:rsidRDefault="00ED14ED" w:rsidP="00101EA8">
      <w:pPr>
        <w:pStyle w:val="ConsPlusNormal"/>
        <w:numPr>
          <w:ilvl w:val="0"/>
          <w:numId w:val="4"/>
        </w:numPr>
        <w:ind w:left="1134" w:hanging="283"/>
        <w:jc w:val="both"/>
        <w:rPr>
          <w:sz w:val="22"/>
          <w:szCs w:val="22"/>
        </w:rPr>
      </w:pPr>
      <w:r w:rsidRPr="005437E2">
        <w:rPr>
          <w:sz w:val="22"/>
          <w:szCs w:val="22"/>
        </w:rPr>
        <w:t>об определении или о порядке определения цены размещения акций или ценных бумаг, конвертируемых в акции, эмитента, являющегося акционерным обществом;</w:t>
      </w:r>
    </w:p>
    <w:p w:rsidR="00ED14ED" w:rsidRPr="005437E2" w:rsidRDefault="00ED14ED" w:rsidP="00101EA8">
      <w:pPr>
        <w:pStyle w:val="ConsPlusNormal"/>
        <w:numPr>
          <w:ilvl w:val="0"/>
          <w:numId w:val="4"/>
        </w:numPr>
        <w:ind w:left="1134" w:hanging="283"/>
        <w:jc w:val="both"/>
        <w:rPr>
          <w:sz w:val="22"/>
          <w:szCs w:val="22"/>
        </w:rPr>
      </w:pPr>
      <w:r w:rsidRPr="005437E2">
        <w:rPr>
          <w:sz w:val="22"/>
          <w:szCs w:val="22"/>
        </w:rPr>
        <w:t>об образовании исполнительного органа эмитента и о досрочном прекращении (приостановлении) его полномочий, в том числе полномочий управляющей организации или управляющего;</w:t>
      </w:r>
    </w:p>
    <w:p w:rsidR="00ED14ED" w:rsidRPr="005437E2" w:rsidRDefault="00ED14ED" w:rsidP="00101EA8">
      <w:pPr>
        <w:pStyle w:val="ConsPlusNormal"/>
        <w:numPr>
          <w:ilvl w:val="0"/>
          <w:numId w:val="4"/>
        </w:numPr>
        <w:ind w:left="1134" w:hanging="283"/>
        <w:jc w:val="both"/>
        <w:rPr>
          <w:sz w:val="22"/>
          <w:szCs w:val="22"/>
        </w:rPr>
      </w:pPr>
      <w:r w:rsidRPr="005437E2">
        <w:rPr>
          <w:sz w:val="22"/>
          <w:szCs w:val="22"/>
        </w:rPr>
        <w:t>о включении кандидатов в список кандидатур для голосования на годовом общем собрании акционеров эмитента по вопросу об избрании членов совета директоров (наблюдательного совета) эмитента;</w:t>
      </w:r>
    </w:p>
    <w:p w:rsidR="00ED14ED" w:rsidRPr="005437E2" w:rsidRDefault="00ED14ED" w:rsidP="00101EA8">
      <w:pPr>
        <w:pStyle w:val="ConsPlusNormal"/>
        <w:numPr>
          <w:ilvl w:val="0"/>
          <w:numId w:val="4"/>
        </w:numPr>
        <w:ind w:left="1134" w:hanging="283"/>
        <w:jc w:val="both"/>
        <w:rPr>
          <w:sz w:val="22"/>
          <w:szCs w:val="22"/>
        </w:rPr>
      </w:pPr>
      <w:r w:rsidRPr="005437E2">
        <w:rPr>
          <w:sz w:val="22"/>
          <w:szCs w:val="22"/>
        </w:rPr>
        <w:t>о рекомендациях в отношении размера дивидендов по акциям эмитента, являющегося акционерным обществом, и порядка их выплаты;</w:t>
      </w:r>
    </w:p>
    <w:p w:rsidR="00ED14ED" w:rsidRPr="005437E2" w:rsidRDefault="00ED14ED" w:rsidP="00101EA8">
      <w:pPr>
        <w:pStyle w:val="ConsPlusNormal"/>
        <w:numPr>
          <w:ilvl w:val="0"/>
          <w:numId w:val="4"/>
        </w:numPr>
        <w:ind w:left="1134" w:hanging="283"/>
        <w:jc w:val="both"/>
        <w:rPr>
          <w:sz w:val="22"/>
          <w:szCs w:val="22"/>
        </w:rPr>
      </w:pPr>
      <w:r w:rsidRPr="005437E2">
        <w:rPr>
          <w:sz w:val="22"/>
          <w:szCs w:val="22"/>
        </w:rPr>
        <w:t>об утверждении внутренних документов эмитента;</w:t>
      </w:r>
    </w:p>
    <w:p w:rsidR="00ED14ED" w:rsidRPr="005437E2" w:rsidRDefault="00ED14ED" w:rsidP="00101EA8">
      <w:pPr>
        <w:pStyle w:val="ConsPlusNormal"/>
        <w:numPr>
          <w:ilvl w:val="0"/>
          <w:numId w:val="4"/>
        </w:numPr>
        <w:ind w:left="1134" w:hanging="283"/>
        <w:jc w:val="both"/>
        <w:rPr>
          <w:sz w:val="22"/>
          <w:szCs w:val="22"/>
        </w:rPr>
      </w:pPr>
      <w:r w:rsidRPr="005437E2">
        <w:rPr>
          <w:sz w:val="22"/>
          <w:szCs w:val="22"/>
        </w:rPr>
        <w:t>о согласии на совершение или о последующем одобрении сделки (нескольких взаимосвязанных сделок) эмитента, признаваемой в соответствии с законодательством Российской Федерации крупной сделкой и (или) сделкой, в совершении которой имеется заинтересованность, а также иной сделки (нескольких взаимосвязанных сделок), размер которой составляет 10 и более процентов балансовой стоимости активов эмитента по данным бухгалтерской (финансовой) отчетности эмитента на последнюю отчетную дату (дату окончания последнего завершенного отчетного периода, определяемого в соответствии с подпунктом 26 пункта 1 статьи 2 Федерального закона "О рынке ценных бумаг",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rsidR="00ED14ED" w:rsidRPr="005437E2" w:rsidRDefault="00ED14ED" w:rsidP="00101EA8">
      <w:pPr>
        <w:pStyle w:val="ConsPlusNormal"/>
        <w:numPr>
          <w:ilvl w:val="0"/>
          <w:numId w:val="4"/>
        </w:numPr>
        <w:ind w:left="1134" w:hanging="283"/>
        <w:jc w:val="both"/>
        <w:rPr>
          <w:sz w:val="22"/>
          <w:szCs w:val="22"/>
        </w:rPr>
      </w:pPr>
      <w:r w:rsidRPr="005437E2">
        <w:rPr>
          <w:sz w:val="22"/>
          <w:szCs w:val="22"/>
        </w:rPr>
        <w:t>о передаче полномочий единоличного исполнительного органа эмитента, являющегося хозяйственным обществом, управляющей организации или управляющему, об утверждении управляющей организации или управляющего и условий договора, заключаемого эмитентом с управляющей организацией или управляющим;</w:t>
      </w:r>
    </w:p>
    <w:p w:rsidR="00ED14ED" w:rsidRPr="005437E2" w:rsidRDefault="00ED14ED" w:rsidP="00101EA8">
      <w:pPr>
        <w:pStyle w:val="a7"/>
        <w:numPr>
          <w:ilvl w:val="0"/>
          <w:numId w:val="4"/>
        </w:numPr>
        <w:spacing w:after="0"/>
        <w:ind w:left="1134" w:hanging="283"/>
        <w:jc w:val="both"/>
        <w:rPr>
          <w:rFonts w:ascii="Times New Roman" w:hAnsi="Times New Roman" w:cs="Times New Roman"/>
        </w:rPr>
      </w:pPr>
      <w:r w:rsidRPr="005437E2">
        <w:rPr>
          <w:rFonts w:ascii="Times New Roman" w:hAnsi="Times New Roman" w:cs="Times New Roman"/>
        </w:rPr>
        <w:t>об утверждении регистратора, осуществляющего ведение реестра владельцев ценных бумаг эмитента, являющегося акционерным обществом, условий договора с ним в части ведения реестра владельцев ценных бумаг эмитента, а также о расторжении договора с ним</w:t>
      </w:r>
    </w:p>
    <w:p w:rsidR="00ED14ED" w:rsidRPr="005437E2" w:rsidRDefault="00ED14ED"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принятии решения о реорганизации или ликвидации лица, предоставившего обеспечение по облигациям эмитента</w:t>
      </w:r>
    </w:p>
    <w:p w:rsidR="009A6D2E" w:rsidRPr="005437E2" w:rsidRDefault="00ED14ED"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 xml:space="preserve">Информация о появлении у эмитента или лица, предоставившего обеспечение по облигациям эмитента, признаков банкротства, предусмотренных Федеральным законом от 26 октября 2002 года N 127-ФЗ "О несостоятельности (банкротстве)" </w:t>
      </w:r>
    </w:p>
    <w:p w:rsidR="00ED14ED" w:rsidRPr="005437E2" w:rsidRDefault="00ED14ED"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lastRenderedPageBreak/>
        <w:t>Информация о принятии арбитражным судом заявления о признании эмитента несостоятельным (банкротом), а также о принятии арбитражным судом решения о признании эмитента несостоятельным (банкротом), введении в отношении эмитента одной из процедур банкротства, прекращении в отношении эмитента производства по делу о банкротстве</w:t>
      </w:r>
    </w:p>
    <w:p w:rsidR="00ED14ED" w:rsidRPr="005437E2" w:rsidRDefault="00ED14ED"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дате, на которую определяются (фиксируются) лица, имеющие право на осуществление прав по ценным бумагам эмитента</w:t>
      </w:r>
    </w:p>
    <w:p w:rsidR="00ED14ED" w:rsidRPr="005437E2" w:rsidRDefault="00ED14ED"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об этапах процедуры эмиссии ценных бумаг эмитента</w:t>
      </w:r>
    </w:p>
    <w:p w:rsidR="00ED14ED" w:rsidRPr="005437E2" w:rsidRDefault="00ED14ED"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приостановлении и возобновлении эмиссии ценных бумаг эмитента</w:t>
      </w:r>
    </w:p>
    <w:p w:rsidR="00ED14ED" w:rsidRPr="005437E2" w:rsidRDefault="00ED14ED"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признании программы облигаций несостоявшейся, о признании выпуска (дополнительного выпуска) ценных бумаг эмитента несостоявшимся или недействительным</w:t>
      </w:r>
    </w:p>
    <w:p w:rsidR="00ED14ED" w:rsidRPr="005437E2" w:rsidRDefault="00ED14ED"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погашении ценных бумаг эмитента</w:t>
      </w:r>
    </w:p>
    <w:p w:rsidR="00ED14ED" w:rsidRPr="005437E2" w:rsidRDefault="00ED14ED"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p w:rsidR="00ED14ED" w:rsidRPr="005437E2" w:rsidRDefault="00ED14ED"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принятии решения о приобретении (наступлении оснований для приобретения) эмитентом размещенных им ценных бумаг</w:t>
      </w:r>
    </w:p>
    <w:p w:rsidR="00ED14ED"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начисленных (объявленных) и (или) выплаченных доходах по ценным бумагам эмитента, 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включении ценных бумаг эмитента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бумаг эмитента российской биржей в котировальный список, или об исключении ценных бумаг эмитента российским организатором торговли из списка ценных бумаг, допущенных к организованным торгам для заключения договоров купли-продажи, в том числе об исключении ценных бумаг эмитента российской биржей из котировального списка, а также о переводе ценных бумаг эмитента из одного котировального списка в другой котировальный список (об исключении ценных бумаг эмитента из одного котировального списка и о включении их в другой котировальный список)</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включении ценных бумаг эмитента (ценных бумаг иностранной организации, удостоверяющих права в отношении ценных бумаг российских эмитентов (далее - депозитарные ценные бумаги) в список ценных бумаг, допущенных к торгам на иностранном организованном (регулируемом) финансовом рынке, в том числе о включении указанных ценных бумаг иностранной биржей в котировальный список, и об исключении ценных бумаг эмитента (депозитарных ценных бумаг) из списка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неисполнении обязательств эмитента перед владельцами его ценных бумаг</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определенным количеством голосов, приходящихся на голосующие акции (доли), составляющие уставный капитал эмитента,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эмитента</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поступившем эмитенту в соответствии с главой XI.1 Федерального закона от 26 декабря 1995 года N 208-ФЗ "Об акционерных обществах" (далее - Федеральный закон "Об акционерных обществах") добровольном, в том числе конкурирующем, или обязательном предложении о приобретении его ценных бумаг, а также об изменениях, внесенных в указанные предложения</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lastRenderedPageBreak/>
        <w:t>Информация о поступившем эмитенту в соответствии с главой XI.1 Федерального закона "Об акционерных обществах" уведомлении о праве требовать выкупа ценных бумаг эмитента или требовании о выкупе ценных бумаг эмитента</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выявлении ошибок в ранее раскрытой отчетности эмитента (бухгалтерской (финансовой) отчетности, консолидированной финансовой отчетности, финансовой отчетности)</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совершении эмитентом или подконтрольной эмитенту организацией, имеющей для него существенное значение, определяемой в соответствии с пунктом 1.14 Положения Банка России N 714-П (далее - подконтрольная эмитенту организация, имеющая для него существенное значение), сделки, размер которой составляет 10 и более процентов балансовой стоимости активов эмитента или подконтрольной эмитенту организации, имеющей для него существенное значение, по данным бухгалтерской (финансовой) отчетности эмитента или указанной организации на последнюю отчетную дату (дату окончания последнего завершенного отчетного периода, предшествующего дате совершения сделки</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совершении эмитентом или подконтрольной эмитенту организацией, имеющей для него существенное значение, сделки, в совершении которой имеется заинтересованность, соответствующей признакам, указанным в пункте 35.1 Положения Банка России N 714-П</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сведения об указанных изменениях, если они вызваны заменой любого обеспеченного залогом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 более процентов от размера ипотечного покрытия облигаций</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заключении контролирующим эмитента лицом или подконтрольной эмитенту организацией договора, предусматривающего обязанность приобретать ценные бумаги эмитента</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возбуждении производства по делу в суде по спору, связанному с созданием эмитента, управлением им или участием в нем (далее - корпоративный спор), или иному спору, истцом или ответчиком по которому является эмитент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пункте 41.6 Положения Банка России N 714-П</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эмитента</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lastRenderedPageBreak/>
        <w:t>Информация о решении Банка России об освобождении эмитента от обязанности осуществлять раскрытие информации в соответствии со статьей 30 Федерального закона "О рынке ценных бумаг"</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приобретении (отчуждении) голосующих акций (долей) эмитента или депозитарных ценных бумаг, удостоверяющих права в отношении голосующих акций эмитента, эмитентом или подконтрольной эмитенту организацией, за исключением случаев приобретения голосующих акций эмитента (депозитарных ценных бумаг, удостоверяющих права в отношении голосующих акций эмитента) в процессе размещения голосующих акций эмитента или приобретения (отчуждения) голосующих акций эмитента (депозитарных ценных бумаг, удостоверяющих права в отношении голосующих акций эмитента) брокером и (или) доверительным управляющим, действующими от своего имени, но за счет клиента во исполнение поручения клиента</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проведении и повестке дня общего собрания владельцев облигаций эмитента, о решениях, принятых общим собранием владельцев облигаций эмитента, а также об объявлении общего собрания владельцев облигаций эмитента несостоявшимся</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об определении эмитентом облигаций представителя владельцев облигаций после регистрации выпуска облигаций</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дате, с которой представитель владельцев облигаций осуществляет свои полномочия</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заключении эмитентом соглашения о новации или предоставлении отступного, влекущего прекращение обязательств по облигациям эмитента</w:t>
      </w:r>
    </w:p>
    <w:p w:rsidR="00B96731" w:rsidRPr="005437E2" w:rsidRDefault="00B96731"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возникновении у владельцев конвертируемых ценных бумаг эмитента права требовать от эмитента конвертации принадлежащих им конвертируемых ценных бумаг эмитента</w:t>
      </w:r>
    </w:p>
    <w:p w:rsidR="00B96731" w:rsidRPr="005437E2" w:rsidRDefault="006260C4"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p>
    <w:p w:rsidR="006260C4" w:rsidRPr="005437E2" w:rsidRDefault="006260C4" w:rsidP="00101EA8">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содержащаяся в годовых отчетах эмитента, являющегося акционерным обществом, за исключением информации, которая ранее уже была раскрыта</w:t>
      </w:r>
    </w:p>
    <w:p w:rsidR="00FD5B8A" w:rsidRPr="005437E2" w:rsidRDefault="006260C4" w:rsidP="00FD5B8A">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 аудит</w:t>
      </w:r>
    </w:p>
    <w:p w:rsidR="00D65C7B" w:rsidRPr="005437E2" w:rsidRDefault="00FD5B8A" w:rsidP="00D65C7B">
      <w:pPr>
        <w:pStyle w:val="a7"/>
        <w:numPr>
          <w:ilvl w:val="0"/>
          <w:numId w:val="3"/>
        </w:numPr>
        <w:spacing w:after="0"/>
        <w:jc w:val="both"/>
        <w:rPr>
          <w:rFonts w:ascii="Times New Roman" w:hAnsi="Times New Roman" w:cs="Times New Roman"/>
        </w:rPr>
      </w:pPr>
      <w:r w:rsidRPr="005437E2">
        <w:rPr>
          <w:rFonts w:ascii="Times New Roman" w:hAnsi="Times New Roman" w:cs="Times New Roman"/>
        </w:rPr>
        <w:t xml:space="preserve">Информация, содержащаяся в отчетах эмитентов эмиссионных ценных бумаг, составленных за отчетные периоды, состоящие из 6 месяцев и 12 месяцев, за исключением информации, которая ранее уже была раскрыта </w:t>
      </w:r>
    </w:p>
    <w:p w:rsidR="00D65C7B" w:rsidRPr="005437E2" w:rsidRDefault="006260C4" w:rsidP="00D65C7B">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содержащаяся в проспекте ценных бумаг эмитента, за исключением информации, которая ранее уже была раскрыта</w:t>
      </w:r>
    </w:p>
    <w:p w:rsidR="00D65C7B" w:rsidRPr="005437E2" w:rsidRDefault="006260C4" w:rsidP="00D65C7B">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p w:rsidR="00D65C7B" w:rsidRPr="005437E2" w:rsidRDefault="006260C4" w:rsidP="00D65C7B">
      <w:pPr>
        <w:pStyle w:val="a7"/>
        <w:numPr>
          <w:ilvl w:val="0"/>
          <w:numId w:val="3"/>
        </w:numPr>
        <w:spacing w:after="0"/>
        <w:jc w:val="both"/>
        <w:rPr>
          <w:rFonts w:ascii="Times New Roman" w:hAnsi="Times New Roman" w:cs="Times New Roman"/>
        </w:rPr>
      </w:pPr>
      <w:r w:rsidRPr="005437E2">
        <w:rPr>
          <w:rFonts w:ascii="Times New Roman" w:hAnsi="Times New Roman" w:cs="Times New Roman"/>
        </w:rPr>
        <w:t xml:space="preserve">Информация о заключении эмитентом договора о стратегическом партнерстве или иного договора (сделки), за исключением договоров (сделок), предусмотренных </w:t>
      </w:r>
      <w:hyperlink w:anchor="Par136" w:tooltip="1.21" w:history="1">
        <w:r w:rsidRPr="005437E2">
          <w:rPr>
            <w:rFonts w:ascii="Times New Roman" w:hAnsi="Times New Roman" w:cs="Times New Roman"/>
          </w:rPr>
          <w:t>строками 1.21</w:t>
        </w:r>
      </w:hyperlink>
      <w:r w:rsidRPr="005437E2">
        <w:rPr>
          <w:rFonts w:ascii="Times New Roman" w:hAnsi="Times New Roman" w:cs="Times New Roman"/>
        </w:rPr>
        <w:t xml:space="preserve">, </w:t>
      </w:r>
      <w:hyperlink w:anchor="Par139" w:tooltip="1.22" w:history="1">
        <w:r w:rsidRPr="005437E2">
          <w:rPr>
            <w:rFonts w:ascii="Times New Roman" w:hAnsi="Times New Roman" w:cs="Times New Roman"/>
          </w:rPr>
          <w:t>1.22</w:t>
        </w:r>
      </w:hyperlink>
      <w:r w:rsidRPr="005437E2">
        <w:rPr>
          <w:rFonts w:ascii="Times New Roman" w:hAnsi="Times New Roman" w:cs="Times New Roman"/>
        </w:rPr>
        <w:t xml:space="preserve"> и </w:t>
      </w:r>
      <w:hyperlink w:anchor="Par154" w:tooltip="1.27" w:history="1">
        <w:r w:rsidRPr="005437E2">
          <w:rPr>
            <w:rFonts w:ascii="Times New Roman" w:hAnsi="Times New Roman" w:cs="Times New Roman"/>
          </w:rPr>
          <w:t>1.27</w:t>
        </w:r>
      </w:hyperlink>
      <w:r w:rsidRPr="005437E2">
        <w:rPr>
          <w:rFonts w:ascii="Times New Roman" w:hAnsi="Times New Roman" w:cs="Times New Roman"/>
        </w:rPr>
        <w:t xml:space="preserve"> приложения</w:t>
      </w:r>
      <w:r w:rsidR="008B22EF" w:rsidRPr="005437E2">
        <w:rPr>
          <w:rFonts w:ascii="Times New Roman" w:hAnsi="Times New Roman" w:cs="Times New Roman"/>
        </w:rPr>
        <w:t xml:space="preserve"> к Указанию Банка России от 27.09.2021 № 5946-У </w:t>
      </w:r>
      <w:r w:rsidR="008B22EF" w:rsidRPr="005437E2">
        <w:rPr>
          <w:rFonts w:ascii="Times New Roman" w:eastAsia="Times New Roman" w:hAnsi="Times New Roman" w:cs="Times New Roman"/>
          <w:lang w:eastAsia="ru-RU"/>
        </w:rPr>
        <w:t>"О перечне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w:t>
      </w:r>
      <w:r w:rsidRPr="005437E2">
        <w:rPr>
          <w:rFonts w:ascii="Times New Roman" w:hAnsi="Times New Roman" w:cs="Times New Roman"/>
        </w:rPr>
        <w:t xml:space="preserve">, если заключение такого договора (сделки) может оказать существенное влияние на цену ценных бумаг эмитента, </w:t>
      </w:r>
      <w:r w:rsidRPr="005437E2">
        <w:rPr>
          <w:rFonts w:ascii="Times New Roman" w:hAnsi="Times New Roman" w:cs="Times New Roman"/>
        </w:rPr>
        <w:lastRenderedPageBreak/>
        <w:t>допущенных к организованным торгам (в отношении которых подана заявка о допуске к организованным торгам)</w:t>
      </w:r>
    </w:p>
    <w:p w:rsidR="00D65C7B" w:rsidRPr="005437E2" w:rsidRDefault="006260C4" w:rsidP="00D65C7B">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принятии судом, арбитражным судом, Федеральной службой судебных приставов обеспечительных мер (в том числе наложения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p>
    <w:p w:rsidR="00D65C7B" w:rsidRPr="005437E2" w:rsidRDefault="006260C4" w:rsidP="00D65C7B">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A46952" w:rsidRPr="005437E2" w:rsidRDefault="00A46952" w:rsidP="00D65C7B">
      <w:pPr>
        <w:pStyle w:val="a7"/>
        <w:numPr>
          <w:ilvl w:val="0"/>
          <w:numId w:val="3"/>
        </w:numPr>
        <w:spacing w:after="0"/>
        <w:jc w:val="both"/>
        <w:rPr>
          <w:rFonts w:ascii="Times New Roman" w:hAnsi="Times New Roman" w:cs="Times New Roman"/>
        </w:rPr>
      </w:pPr>
      <w:r w:rsidRPr="005437E2">
        <w:rPr>
          <w:rFonts w:ascii="Times New Roman" w:hAnsi="Times New Roman" w:cs="Times New Roman"/>
        </w:rPr>
        <w:t xml:space="preserve">Информация об обстоятельствах, предусмотренных </w:t>
      </w:r>
      <w:hyperlink r:id="rId8" w:history="1">
        <w:r w:rsidRPr="005437E2">
          <w:rPr>
            <w:rStyle w:val="ab"/>
            <w:rFonts w:ascii="Times New Roman" w:hAnsi="Times New Roman" w:cs="Times New Roman"/>
            <w:b w:val="0"/>
            <w:color w:val="auto"/>
          </w:rPr>
          <w:t>абзацем вторым подпункта 23 пункта 1 статьи 2</w:t>
        </w:r>
      </w:hyperlink>
      <w:r w:rsidRPr="005437E2">
        <w:rPr>
          <w:rFonts w:ascii="Times New Roman" w:hAnsi="Times New Roman" w:cs="Times New Roman"/>
        </w:rPr>
        <w:t xml:space="preserve"> Федерального закона "О рынке ценных бумаг", в зависимости от наступления или ненаступления которых осуществляются либо не осуществляются выплаты по структурным облигациям эмитента,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(далее - обстоятельства), с указанием числовых значений (параметров, условий) обстоятельств или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за исключением информации, которая ранее уже была раскрыта</w:t>
      </w:r>
    </w:p>
    <w:p w:rsidR="00A46952" w:rsidRPr="005437E2" w:rsidRDefault="00A46952" w:rsidP="00A46952">
      <w:pPr>
        <w:pStyle w:val="ac"/>
        <w:numPr>
          <w:ilvl w:val="0"/>
          <w:numId w:val="3"/>
        </w:numPr>
        <w:rPr>
          <w:rFonts w:ascii="Times New Roman" w:hAnsi="Times New Roman" w:cs="Times New Roman"/>
          <w:sz w:val="22"/>
          <w:szCs w:val="22"/>
        </w:rPr>
      </w:pPr>
      <w:r w:rsidRPr="005437E2">
        <w:rPr>
          <w:rFonts w:ascii="Times New Roman" w:hAnsi="Times New Roman" w:cs="Times New Roman"/>
          <w:sz w:val="22"/>
          <w:szCs w:val="22"/>
        </w:rPr>
        <w:t xml:space="preserve">Информация 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w:t>
      </w:r>
      <w:hyperlink r:id="rId9" w:history="1">
        <w:r w:rsidRPr="005437E2">
          <w:rPr>
            <w:rStyle w:val="ab"/>
            <w:rFonts w:ascii="Times New Roman" w:hAnsi="Times New Roman" w:cs="Times New Roman"/>
            <w:b w:val="0"/>
            <w:color w:val="auto"/>
            <w:sz w:val="22"/>
            <w:szCs w:val="22"/>
          </w:rPr>
          <w:t>подпунктами 1</w:t>
        </w:r>
      </w:hyperlink>
      <w:r w:rsidRPr="005437E2">
        <w:rPr>
          <w:rFonts w:ascii="Times New Roman" w:hAnsi="Times New Roman" w:cs="Times New Roman"/>
          <w:b/>
          <w:sz w:val="22"/>
          <w:szCs w:val="22"/>
        </w:rPr>
        <w:t xml:space="preserve"> </w:t>
      </w:r>
      <w:r w:rsidRPr="005437E2">
        <w:rPr>
          <w:rFonts w:ascii="Times New Roman" w:hAnsi="Times New Roman" w:cs="Times New Roman"/>
          <w:sz w:val="22"/>
          <w:szCs w:val="22"/>
        </w:rPr>
        <w:t>и</w:t>
      </w:r>
      <w:r w:rsidRPr="005437E2">
        <w:rPr>
          <w:rFonts w:ascii="Times New Roman" w:hAnsi="Times New Roman" w:cs="Times New Roman"/>
          <w:b/>
          <w:sz w:val="22"/>
          <w:szCs w:val="22"/>
        </w:rPr>
        <w:t xml:space="preserve"> </w:t>
      </w:r>
      <w:r w:rsidRPr="005437E2">
        <w:rPr>
          <w:rStyle w:val="ab"/>
          <w:rFonts w:ascii="Times New Roman" w:hAnsi="Times New Roman" w:cs="Times New Roman"/>
          <w:b w:val="0"/>
          <w:color w:val="auto"/>
          <w:sz w:val="22"/>
          <w:szCs w:val="22"/>
        </w:rPr>
        <w:t>2 пункта 3 статьи 27</w:t>
      </w:r>
      <w:hyperlink r:id="rId10" w:history="1">
        <w:r w:rsidRPr="005437E2">
          <w:rPr>
            <w:rStyle w:val="ab"/>
            <w:rFonts w:ascii="Times New Roman" w:hAnsi="Times New Roman" w:cs="Times New Roman"/>
            <w:b w:val="0"/>
            <w:color w:val="auto"/>
            <w:sz w:val="22"/>
            <w:szCs w:val="22"/>
            <w:vertAlign w:val="superscript"/>
          </w:rPr>
          <w:t> 1-1</w:t>
        </w:r>
      </w:hyperlink>
      <w:r w:rsidRPr="005437E2">
        <w:rPr>
          <w:rFonts w:ascii="Times New Roman" w:hAnsi="Times New Roman" w:cs="Times New Roman"/>
          <w:sz w:val="22"/>
          <w:szCs w:val="22"/>
        </w:rPr>
        <w:t xml:space="preserve"> Федерального закона "О рынке ценных бумаг", за исключением информации, которая ранее уже была раскрыта (в случае если такая информация не содержится в решении о выпуске структурных облигаций)</w:t>
      </w:r>
    </w:p>
    <w:p w:rsidR="00D65C7B" w:rsidRPr="005437E2" w:rsidRDefault="006260C4" w:rsidP="00D65C7B">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 возбуждении уголовного дела (поступившая эмитенту от органов предварительного следствия или органов дознания)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p>
    <w:p w:rsidR="00D65C7B" w:rsidRPr="005437E2" w:rsidRDefault="006260C4" w:rsidP="00D65C7B">
      <w:pPr>
        <w:pStyle w:val="a7"/>
        <w:numPr>
          <w:ilvl w:val="0"/>
          <w:numId w:val="3"/>
        </w:numPr>
        <w:spacing w:after="0"/>
        <w:jc w:val="both"/>
        <w:rPr>
          <w:rFonts w:ascii="Times New Roman" w:hAnsi="Times New Roman" w:cs="Times New Roman"/>
        </w:rPr>
      </w:pPr>
      <w:r w:rsidRPr="005437E2">
        <w:rPr>
          <w:rFonts w:ascii="Times New Roman" w:hAnsi="Times New Roman" w:cs="Times New Roman"/>
        </w:rPr>
        <w:lastRenderedPageBreak/>
        <w:t>Информация, содержащаяся в материалах, на основании которых органами управления эмитента, за исключением общего собрания акционеров, принимаются решения, которые могут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rsidR="006260C4" w:rsidRPr="005437E2" w:rsidRDefault="006260C4" w:rsidP="00D65C7B">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об иных событиях (действиях), оказывающих, по мнению эмитента, существенное влияние на стоимость или котировки его ценных бумаг</w:t>
      </w:r>
      <w:r w:rsidR="008B22EF" w:rsidRPr="005437E2">
        <w:rPr>
          <w:rFonts w:ascii="Times New Roman" w:hAnsi="Times New Roman" w:cs="Times New Roman"/>
        </w:rPr>
        <w:t>.</w:t>
      </w:r>
    </w:p>
    <w:p w:rsidR="00ED14ED" w:rsidRPr="005437E2" w:rsidRDefault="00ED14ED" w:rsidP="00101EA8">
      <w:pPr>
        <w:spacing w:after="0"/>
        <w:jc w:val="both"/>
        <w:rPr>
          <w:rFonts w:ascii="Times New Roman" w:eastAsia="Times New Roman" w:hAnsi="Times New Roman" w:cs="Times New Roman"/>
          <w:lang w:eastAsia="ru-RU"/>
        </w:rPr>
      </w:pPr>
    </w:p>
    <w:p w:rsidR="00A44791" w:rsidRPr="005437E2" w:rsidRDefault="00A44791" w:rsidP="00A44791">
      <w:pPr>
        <w:spacing w:after="0" w:line="240" w:lineRule="auto"/>
        <w:ind w:firstLine="567"/>
        <w:jc w:val="both"/>
        <w:rPr>
          <w:rFonts w:ascii="Times New Roman" w:hAnsi="Times New Roman" w:cs="Times New Roman"/>
        </w:rPr>
      </w:pPr>
    </w:p>
    <w:sectPr w:rsidR="00A44791" w:rsidRPr="005437E2" w:rsidSect="00190F18">
      <w:footerReference w:type="default" r:id="rId11"/>
      <w:pgSz w:w="11906" w:h="16838"/>
      <w:pgMar w:top="1134" w:right="707"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346" w:rsidRPr="00CD05F6" w:rsidRDefault="00DB1346" w:rsidP="00ED14ED">
      <w:pPr>
        <w:spacing w:after="0" w:line="240" w:lineRule="auto"/>
        <w:rPr>
          <w:rFonts w:ascii="Times New Roman" w:hAnsi="Times New Roman" w:cs="Times New Roman"/>
          <w:sz w:val="24"/>
          <w:szCs w:val="24"/>
        </w:rPr>
      </w:pPr>
      <w:r>
        <w:separator/>
      </w:r>
    </w:p>
  </w:endnote>
  <w:endnote w:type="continuationSeparator" w:id="1">
    <w:p w:rsidR="00DB1346" w:rsidRPr="00CD05F6" w:rsidRDefault="00DB1346" w:rsidP="00ED14ED">
      <w:pPr>
        <w:spacing w:after="0" w:line="240" w:lineRule="auto"/>
        <w:rPr>
          <w:rFonts w:ascii="Times New Roman" w:hAnsi="Times New Roman" w:cs="Times New Roman"/>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561395"/>
      <w:docPartObj>
        <w:docPartGallery w:val="Page Numbers (Bottom of Page)"/>
        <w:docPartUnique/>
      </w:docPartObj>
    </w:sdtPr>
    <w:sdtContent>
      <w:p w:rsidR="00B866E9" w:rsidRDefault="00B42464">
        <w:pPr>
          <w:pStyle w:val="a5"/>
          <w:jc w:val="right"/>
        </w:pPr>
        <w:fldSimple w:instr=" PAGE   \* MERGEFORMAT ">
          <w:r w:rsidR="00986191">
            <w:rPr>
              <w:noProof/>
            </w:rPr>
            <w:t>1</w:t>
          </w:r>
        </w:fldSimple>
      </w:p>
    </w:sdtContent>
  </w:sdt>
  <w:p w:rsidR="00B866E9" w:rsidRDefault="00B866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346" w:rsidRPr="00CD05F6" w:rsidRDefault="00DB1346" w:rsidP="00ED14ED">
      <w:pPr>
        <w:spacing w:after="0" w:line="240" w:lineRule="auto"/>
        <w:rPr>
          <w:rFonts w:ascii="Times New Roman" w:hAnsi="Times New Roman" w:cs="Times New Roman"/>
          <w:sz w:val="24"/>
          <w:szCs w:val="24"/>
        </w:rPr>
      </w:pPr>
      <w:r>
        <w:separator/>
      </w:r>
    </w:p>
  </w:footnote>
  <w:footnote w:type="continuationSeparator" w:id="1">
    <w:p w:rsidR="00DB1346" w:rsidRPr="00CD05F6" w:rsidRDefault="00DB1346" w:rsidP="00ED14ED">
      <w:pPr>
        <w:spacing w:after="0" w:line="240" w:lineRule="auto"/>
        <w:rPr>
          <w:rFonts w:ascii="Times New Roman" w:hAnsi="Times New Roman" w:cs="Times New Roman"/>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4081"/>
    <w:multiLevelType w:val="hybridMultilevel"/>
    <w:tmpl w:val="AAEEDB7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81CEC"/>
    <w:multiLevelType w:val="hybridMultilevel"/>
    <w:tmpl w:val="7DBAB5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873B8F"/>
    <w:multiLevelType w:val="hybridMultilevel"/>
    <w:tmpl w:val="4A58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BE6B47"/>
    <w:multiLevelType w:val="hybridMultilevel"/>
    <w:tmpl w:val="4A58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E269AE"/>
    <w:multiLevelType w:val="hybridMultilevel"/>
    <w:tmpl w:val="2C700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074649"/>
    <w:rsid w:val="00042F47"/>
    <w:rsid w:val="00074649"/>
    <w:rsid w:val="00081881"/>
    <w:rsid w:val="000C31BE"/>
    <w:rsid w:val="00101EA8"/>
    <w:rsid w:val="0015064F"/>
    <w:rsid w:val="00190F18"/>
    <w:rsid w:val="00224D3B"/>
    <w:rsid w:val="00264346"/>
    <w:rsid w:val="00277C51"/>
    <w:rsid w:val="002A7613"/>
    <w:rsid w:val="002C7191"/>
    <w:rsid w:val="00302B3A"/>
    <w:rsid w:val="00314A97"/>
    <w:rsid w:val="00356B1B"/>
    <w:rsid w:val="004034A9"/>
    <w:rsid w:val="004035FE"/>
    <w:rsid w:val="00442BCB"/>
    <w:rsid w:val="004436A1"/>
    <w:rsid w:val="00466740"/>
    <w:rsid w:val="00510638"/>
    <w:rsid w:val="005124AD"/>
    <w:rsid w:val="00512762"/>
    <w:rsid w:val="00527158"/>
    <w:rsid w:val="005437E2"/>
    <w:rsid w:val="00543891"/>
    <w:rsid w:val="00545E52"/>
    <w:rsid w:val="0059350D"/>
    <w:rsid w:val="005A3D81"/>
    <w:rsid w:val="006260C4"/>
    <w:rsid w:val="00641FB1"/>
    <w:rsid w:val="00650AC1"/>
    <w:rsid w:val="006A2E7F"/>
    <w:rsid w:val="006A4B32"/>
    <w:rsid w:val="006C232D"/>
    <w:rsid w:val="006C41E1"/>
    <w:rsid w:val="007823E7"/>
    <w:rsid w:val="0079041B"/>
    <w:rsid w:val="007B5B32"/>
    <w:rsid w:val="00861418"/>
    <w:rsid w:val="00883706"/>
    <w:rsid w:val="008B22EF"/>
    <w:rsid w:val="008C75AC"/>
    <w:rsid w:val="008F34D4"/>
    <w:rsid w:val="009601F0"/>
    <w:rsid w:val="009754FA"/>
    <w:rsid w:val="00986191"/>
    <w:rsid w:val="009A6D2E"/>
    <w:rsid w:val="009E74AA"/>
    <w:rsid w:val="00A1613E"/>
    <w:rsid w:val="00A44791"/>
    <w:rsid w:val="00A46952"/>
    <w:rsid w:val="00A71915"/>
    <w:rsid w:val="00A97B3B"/>
    <w:rsid w:val="00AA350D"/>
    <w:rsid w:val="00AD15B5"/>
    <w:rsid w:val="00B0184B"/>
    <w:rsid w:val="00B42464"/>
    <w:rsid w:val="00B75AF2"/>
    <w:rsid w:val="00B866E9"/>
    <w:rsid w:val="00B921C6"/>
    <w:rsid w:val="00B96731"/>
    <w:rsid w:val="00BA6346"/>
    <w:rsid w:val="00C03B0A"/>
    <w:rsid w:val="00C70C2B"/>
    <w:rsid w:val="00D32022"/>
    <w:rsid w:val="00D65C7B"/>
    <w:rsid w:val="00D81EEC"/>
    <w:rsid w:val="00D940D5"/>
    <w:rsid w:val="00DB1346"/>
    <w:rsid w:val="00DD273E"/>
    <w:rsid w:val="00DE6AD8"/>
    <w:rsid w:val="00E23476"/>
    <w:rsid w:val="00E52409"/>
    <w:rsid w:val="00E62A27"/>
    <w:rsid w:val="00E73C1B"/>
    <w:rsid w:val="00ED14ED"/>
    <w:rsid w:val="00EE13A1"/>
    <w:rsid w:val="00EE43CB"/>
    <w:rsid w:val="00F006C6"/>
    <w:rsid w:val="00FA22D3"/>
    <w:rsid w:val="00FA6E59"/>
    <w:rsid w:val="00FB12A1"/>
    <w:rsid w:val="00FC1F05"/>
    <w:rsid w:val="00FD5B8A"/>
    <w:rsid w:val="00FD7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53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3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4ED"/>
    <w:pPr>
      <w:widowControl w:val="0"/>
      <w:autoSpaceDE w:val="0"/>
      <w:autoSpaceDN w:val="0"/>
      <w:adjustRightInd w:val="0"/>
      <w:spacing w:after="0" w:line="240" w:lineRule="auto"/>
      <w:ind w:firstLine="0"/>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ED14E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14ED"/>
  </w:style>
  <w:style w:type="paragraph" w:styleId="a5">
    <w:name w:val="footer"/>
    <w:basedOn w:val="a"/>
    <w:link w:val="a6"/>
    <w:uiPriority w:val="99"/>
    <w:unhideWhenUsed/>
    <w:rsid w:val="00ED14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14ED"/>
  </w:style>
  <w:style w:type="paragraph" w:styleId="a7">
    <w:name w:val="List Paragraph"/>
    <w:basedOn w:val="a"/>
    <w:uiPriority w:val="34"/>
    <w:qFormat/>
    <w:rsid w:val="00101EA8"/>
    <w:pPr>
      <w:ind w:left="720"/>
      <w:contextualSpacing/>
    </w:pPr>
  </w:style>
  <w:style w:type="paragraph" w:styleId="a8">
    <w:name w:val="footnote text"/>
    <w:basedOn w:val="a"/>
    <w:link w:val="a9"/>
    <w:uiPriority w:val="99"/>
    <w:semiHidden/>
    <w:unhideWhenUsed/>
    <w:rsid w:val="00B866E9"/>
    <w:pPr>
      <w:spacing w:after="0" w:line="240" w:lineRule="auto"/>
    </w:pPr>
    <w:rPr>
      <w:sz w:val="20"/>
      <w:szCs w:val="20"/>
    </w:rPr>
  </w:style>
  <w:style w:type="character" w:customStyle="1" w:styleId="a9">
    <w:name w:val="Текст сноски Знак"/>
    <w:basedOn w:val="a0"/>
    <w:link w:val="a8"/>
    <w:uiPriority w:val="99"/>
    <w:semiHidden/>
    <w:rsid w:val="00B866E9"/>
    <w:rPr>
      <w:sz w:val="20"/>
      <w:szCs w:val="20"/>
    </w:rPr>
  </w:style>
  <w:style w:type="character" w:styleId="aa">
    <w:name w:val="footnote reference"/>
    <w:basedOn w:val="a0"/>
    <w:uiPriority w:val="99"/>
    <w:semiHidden/>
    <w:unhideWhenUsed/>
    <w:rsid w:val="00B866E9"/>
    <w:rPr>
      <w:vertAlign w:val="superscript"/>
    </w:rPr>
  </w:style>
  <w:style w:type="character" w:customStyle="1" w:styleId="ab">
    <w:name w:val="Гипертекстовая ссылка"/>
    <w:basedOn w:val="a0"/>
    <w:uiPriority w:val="99"/>
    <w:rsid w:val="00A46952"/>
    <w:rPr>
      <w:b/>
      <w:bCs/>
      <w:color w:val="106BBE"/>
    </w:rPr>
  </w:style>
  <w:style w:type="paragraph" w:customStyle="1" w:styleId="ac">
    <w:name w:val="Нормальный (таблица)"/>
    <w:basedOn w:val="a"/>
    <w:next w:val="a"/>
    <w:uiPriority w:val="99"/>
    <w:rsid w:val="00A46952"/>
    <w:pPr>
      <w:widowControl w:val="0"/>
      <w:autoSpaceDE w:val="0"/>
      <w:autoSpaceDN w:val="0"/>
      <w:adjustRightInd w:val="0"/>
      <w:spacing w:after="0" w:line="240" w:lineRule="auto"/>
      <w:ind w:firstLine="0"/>
      <w:jc w:val="both"/>
    </w:pPr>
    <w:rPr>
      <w:rFonts w:ascii="Times New Roman CYR" w:eastAsiaTheme="minorEastAsia"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456146920">
      <w:bodyDiv w:val="1"/>
      <w:marLeft w:val="0"/>
      <w:marRight w:val="0"/>
      <w:marTop w:val="0"/>
      <w:marBottom w:val="0"/>
      <w:divBdr>
        <w:top w:val="none" w:sz="0" w:space="0" w:color="auto"/>
        <w:left w:val="none" w:sz="0" w:space="0" w:color="auto"/>
        <w:bottom w:val="none" w:sz="0" w:space="0" w:color="auto"/>
        <w:right w:val="none" w:sz="0" w:space="0" w:color="auto"/>
      </w:divBdr>
    </w:div>
    <w:div w:id="735662897">
      <w:bodyDiv w:val="1"/>
      <w:marLeft w:val="0"/>
      <w:marRight w:val="0"/>
      <w:marTop w:val="0"/>
      <w:marBottom w:val="0"/>
      <w:divBdr>
        <w:top w:val="none" w:sz="0" w:space="0" w:color="auto"/>
        <w:left w:val="none" w:sz="0" w:space="0" w:color="auto"/>
        <w:bottom w:val="none" w:sz="0" w:space="0" w:color="auto"/>
        <w:right w:val="none" w:sz="0" w:space="0" w:color="auto"/>
      </w:divBdr>
    </w:div>
    <w:div w:id="1537351245">
      <w:bodyDiv w:val="1"/>
      <w:marLeft w:val="0"/>
      <w:marRight w:val="0"/>
      <w:marTop w:val="0"/>
      <w:marBottom w:val="0"/>
      <w:divBdr>
        <w:top w:val="none" w:sz="0" w:space="0" w:color="auto"/>
        <w:left w:val="none" w:sz="0" w:space="0" w:color="auto"/>
        <w:bottom w:val="none" w:sz="0" w:space="0" w:color="auto"/>
        <w:right w:val="none" w:sz="0" w:space="0" w:color="auto"/>
      </w:divBdr>
    </w:div>
    <w:div w:id="18209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106464/202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vo.garant.ru/document/redirect/10106464/271132" TargetMode="External"/><Relationship Id="rId4" Type="http://schemas.openxmlformats.org/officeDocument/2006/relationships/settings" Target="settings.xml"/><Relationship Id="rId9" Type="http://schemas.openxmlformats.org/officeDocument/2006/relationships/hyperlink" Target="http://ivo.garant.ru/document/redirect/10106464/271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002F-AE11-4A40-8B78-22C5EE51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3593</Words>
  <Characters>20483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Жанна</cp:lastModifiedBy>
  <cp:revision>3</cp:revision>
  <dcterms:created xsi:type="dcterms:W3CDTF">2024-04-19T07:20:00Z</dcterms:created>
  <dcterms:modified xsi:type="dcterms:W3CDTF">2024-04-19T07:24:00Z</dcterms:modified>
</cp:coreProperties>
</file>